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F458544" w14:textId="691665A8" w:rsidR="00D76B8B" w:rsidRDefault="00D76B8B" w:rsidP="00D76B8B">
      <w:pPr>
        <w:spacing w:line="480" w:lineRule="auto"/>
        <w:jc w:val="center"/>
        <w:rPr>
          <w:rFonts w:ascii="Times New Roman" w:hAnsi="Times New Roman" w:cs="Times New Roman"/>
          <w:sz w:val="24"/>
          <w:szCs w:val="24"/>
        </w:rPr>
      </w:pPr>
    </w:p>
    <w:p w14:paraId="1B46C3B6" w14:textId="04CEE341" w:rsidR="00D76B8B" w:rsidRDefault="00D76B8B" w:rsidP="00D76B8B">
      <w:pPr>
        <w:spacing w:line="480" w:lineRule="auto"/>
        <w:jc w:val="center"/>
        <w:rPr>
          <w:rFonts w:ascii="Times New Roman" w:hAnsi="Times New Roman" w:cs="Times New Roman"/>
          <w:sz w:val="24"/>
          <w:szCs w:val="24"/>
        </w:rPr>
      </w:pPr>
    </w:p>
    <w:p w14:paraId="0FF0E8B1" w14:textId="281B8AFF" w:rsidR="00D76B8B" w:rsidRDefault="00D76B8B" w:rsidP="00D76B8B">
      <w:pPr>
        <w:spacing w:line="480" w:lineRule="auto"/>
        <w:jc w:val="center"/>
        <w:rPr>
          <w:rFonts w:ascii="Times New Roman" w:hAnsi="Times New Roman" w:cs="Times New Roman"/>
          <w:sz w:val="24"/>
          <w:szCs w:val="24"/>
        </w:rPr>
      </w:pPr>
    </w:p>
    <w:p w14:paraId="43B0110F" w14:textId="548B3DAC" w:rsidR="00D76B8B" w:rsidRDefault="00D76B8B" w:rsidP="00D76B8B">
      <w:pPr>
        <w:spacing w:line="480" w:lineRule="auto"/>
        <w:jc w:val="center"/>
        <w:rPr>
          <w:rFonts w:ascii="Times New Roman" w:hAnsi="Times New Roman" w:cs="Times New Roman"/>
          <w:sz w:val="24"/>
          <w:szCs w:val="24"/>
        </w:rPr>
      </w:pPr>
    </w:p>
    <w:p w14:paraId="7CC9C56C" w14:textId="63A7CD8C" w:rsidR="00D76B8B" w:rsidRDefault="00D76B8B" w:rsidP="00D76B8B">
      <w:pPr>
        <w:spacing w:line="480" w:lineRule="auto"/>
        <w:jc w:val="center"/>
        <w:rPr>
          <w:rFonts w:ascii="Times New Roman" w:hAnsi="Times New Roman" w:cs="Times New Roman"/>
          <w:sz w:val="24"/>
          <w:szCs w:val="24"/>
        </w:rPr>
      </w:pPr>
    </w:p>
    <w:p w14:paraId="378563E1" w14:textId="1355776C" w:rsidR="00D76B8B" w:rsidRDefault="00D76B8B" w:rsidP="00D76B8B">
      <w:pPr>
        <w:spacing w:line="480" w:lineRule="auto"/>
        <w:jc w:val="center"/>
        <w:rPr>
          <w:rFonts w:ascii="Times New Roman" w:hAnsi="Times New Roman" w:cs="Times New Roman"/>
          <w:sz w:val="24"/>
          <w:szCs w:val="24"/>
        </w:rPr>
      </w:pPr>
    </w:p>
    <w:p w14:paraId="50D3250D" w14:textId="4F41541D" w:rsidR="00D76B8B" w:rsidRDefault="00D76B8B" w:rsidP="00D76B8B">
      <w:pPr>
        <w:spacing w:line="480" w:lineRule="auto"/>
        <w:jc w:val="center"/>
        <w:rPr>
          <w:rFonts w:ascii="Times New Roman" w:hAnsi="Times New Roman" w:cs="Times New Roman"/>
          <w:sz w:val="24"/>
          <w:szCs w:val="24"/>
        </w:rPr>
      </w:pPr>
    </w:p>
    <w:p w14:paraId="1844C80F" w14:textId="21BBB407" w:rsidR="00D76B8B" w:rsidRDefault="00D76B8B" w:rsidP="00D76B8B">
      <w:pPr>
        <w:spacing w:line="480" w:lineRule="auto"/>
        <w:jc w:val="center"/>
        <w:rPr>
          <w:rFonts w:ascii="Times New Roman" w:hAnsi="Times New Roman" w:cs="Times New Roman"/>
          <w:sz w:val="24"/>
          <w:szCs w:val="24"/>
        </w:rPr>
      </w:pPr>
    </w:p>
    <w:p w14:paraId="409F81B6" w14:textId="77777777" w:rsidR="00D76B8B" w:rsidRDefault="00D76B8B" w:rsidP="00D76B8B">
      <w:pPr>
        <w:spacing w:line="480" w:lineRule="auto"/>
        <w:jc w:val="center"/>
        <w:rPr>
          <w:rFonts w:ascii="Times New Roman" w:hAnsi="Times New Roman" w:cs="Times New Roman"/>
          <w:sz w:val="24"/>
          <w:szCs w:val="24"/>
        </w:rPr>
      </w:pPr>
      <w:r w:rsidRPr="00D76B8B">
        <w:rPr>
          <w:rFonts w:ascii="Times New Roman" w:hAnsi="Times New Roman" w:cs="Times New Roman"/>
          <w:sz w:val="24"/>
          <w:szCs w:val="24"/>
        </w:rPr>
        <w:t>Reflection on Adulthood</w:t>
      </w:r>
    </w:p>
    <w:p w14:paraId="423FEF05" w14:textId="682F3DE2" w:rsidR="00D76B8B" w:rsidRDefault="00D76B8B" w:rsidP="00D76B8B">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r w:rsidR="00661A2D">
        <w:rPr>
          <w:rFonts w:ascii="Times New Roman" w:hAnsi="Times New Roman" w:cs="Times New Roman"/>
          <w:sz w:val="24"/>
          <w:szCs w:val="24"/>
        </w:rPr>
        <w:t xml:space="preserve"> of Student </w:t>
      </w:r>
    </w:p>
    <w:p w14:paraId="78441D91" w14:textId="28E902D1" w:rsidR="00661A2D" w:rsidRDefault="00661A2D" w:rsidP="00D76B8B">
      <w:pPr>
        <w:spacing w:line="480" w:lineRule="auto"/>
        <w:jc w:val="center"/>
        <w:rPr>
          <w:rFonts w:ascii="Times New Roman" w:hAnsi="Times New Roman" w:cs="Times New Roman"/>
          <w:sz w:val="24"/>
          <w:szCs w:val="24"/>
        </w:rPr>
      </w:pPr>
      <w:r>
        <w:rPr>
          <w:rFonts w:ascii="Times New Roman" w:hAnsi="Times New Roman" w:cs="Times New Roman"/>
          <w:sz w:val="24"/>
          <w:szCs w:val="24"/>
        </w:rPr>
        <w:t>Name of Professor</w:t>
      </w:r>
    </w:p>
    <w:p w14:paraId="29C16CBB" w14:textId="77777777" w:rsidR="00D76B8B" w:rsidRDefault="00D76B8B" w:rsidP="00D76B8B">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14:paraId="0E1DCAF2" w14:textId="08B392E9" w:rsidR="00661A2D" w:rsidRDefault="00661A2D" w:rsidP="00D76B8B">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14:paraId="38F63C72" w14:textId="5979BB54" w:rsidR="00D76B8B" w:rsidRDefault="00D76B8B" w:rsidP="00D76B8B">
      <w:pPr>
        <w:spacing w:line="480" w:lineRule="auto"/>
        <w:jc w:val="center"/>
        <w:rPr>
          <w:rFonts w:ascii="Times New Roman" w:hAnsi="Times New Roman" w:cs="Times New Roman"/>
          <w:sz w:val="24"/>
          <w:szCs w:val="24"/>
        </w:rPr>
      </w:pPr>
    </w:p>
    <w:p w14:paraId="2E145E28" w14:textId="5E6CF9CC" w:rsidR="00D76B8B" w:rsidRDefault="00D76B8B" w:rsidP="00D76B8B">
      <w:pPr>
        <w:spacing w:line="480" w:lineRule="auto"/>
        <w:jc w:val="center"/>
        <w:rPr>
          <w:rFonts w:ascii="Times New Roman" w:hAnsi="Times New Roman" w:cs="Times New Roman"/>
          <w:sz w:val="24"/>
          <w:szCs w:val="24"/>
        </w:rPr>
      </w:pPr>
    </w:p>
    <w:p w14:paraId="15B7FC13" w14:textId="4E4E2D22" w:rsidR="00D76B8B" w:rsidRDefault="00D76B8B" w:rsidP="00D76B8B">
      <w:pPr>
        <w:spacing w:line="480" w:lineRule="auto"/>
        <w:jc w:val="center"/>
        <w:rPr>
          <w:rFonts w:ascii="Times New Roman" w:hAnsi="Times New Roman" w:cs="Times New Roman"/>
          <w:sz w:val="24"/>
          <w:szCs w:val="24"/>
        </w:rPr>
      </w:pPr>
    </w:p>
    <w:p w14:paraId="515717EF" w14:textId="77777777" w:rsidR="00D76B8B" w:rsidRDefault="00D76B8B" w:rsidP="00661A2D">
      <w:pPr>
        <w:spacing w:line="480" w:lineRule="auto"/>
        <w:rPr>
          <w:rFonts w:ascii="Times New Roman" w:hAnsi="Times New Roman" w:cs="Times New Roman"/>
          <w:sz w:val="24"/>
          <w:szCs w:val="24"/>
        </w:rPr>
      </w:pPr>
    </w:p>
    <w:p w14:paraId="28FE5F64" w14:textId="77777777" w:rsidR="009F1A81" w:rsidRDefault="009F1A81" w:rsidP="00D76B8B">
      <w:pPr>
        <w:spacing w:line="480" w:lineRule="auto"/>
        <w:ind w:firstLine="720"/>
        <w:rPr>
          <w:rFonts w:ascii="Times New Roman" w:hAnsi="Times New Roman" w:cs="Times New Roman"/>
          <w:sz w:val="24"/>
          <w:szCs w:val="24"/>
        </w:rPr>
      </w:pPr>
    </w:p>
    <w:p w14:paraId="40168228" w14:textId="77777777" w:rsidR="004C2273" w:rsidRPr="004C2273" w:rsidRDefault="004C2273" w:rsidP="004C2273">
      <w:pPr>
        <w:spacing w:line="480" w:lineRule="auto"/>
        <w:ind w:firstLine="720"/>
        <w:rPr>
          <w:rFonts w:ascii="Times New Roman" w:hAnsi="Times New Roman" w:cs="Times New Roman"/>
          <w:sz w:val="24"/>
          <w:szCs w:val="24"/>
        </w:rPr>
      </w:pPr>
      <w:r w:rsidRPr="004C2273">
        <w:rPr>
          <w:rFonts w:ascii="Times New Roman" w:hAnsi="Times New Roman" w:cs="Times New Roman"/>
          <w:sz w:val="24"/>
          <w:szCs w:val="24"/>
        </w:rPr>
        <w:lastRenderedPageBreak/>
        <w:t>Adulthood is increasingly becoming a major field of research. Scientists try to understand the changes in the transition to adulthood by adolescents across cultural grounds. Transiting from adolescence to adulthood is described by a period of confusion and self-un-awareness called emerging adulthood (Tanner &amp; Arnett, 2016). Adulthood cannot be defined by one single definition as it depends on societal norms and cultures. Among the definitions of an adult is the age, ability to take care of oneself. These, however, are not concrete, as this article will illustrate and explain.</w:t>
      </w:r>
    </w:p>
    <w:p w14:paraId="3A8C119F" w14:textId="77777777" w:rsidR="004C2273" w:rsidRPr="004C2273" w:rsidRDefault="004C2273" w:rsidP="004C2273">
      <w:pPr>
        <w:spacing w:line="480" w:lineRule="auto"/>
        <w:ind w:firstLine="720"/>
        <w:rPr>
          <w:rFonts w:ascii="Times New Roman" w:hAnsi="Times New Roman" w:cs="Times New Roman"/>
          <w:sz w:val="24"/>
          <w:szCs w:val="24"/>
        </w:rPr>
      </w:pPr>
      <w:r w:rsidRPr="004C2273">
        <w:rPr>
          <w:rFonts w:ascii="Times New Roman" w:hAnsi="Times New Roman" w:cs="Times New Roman"/>
          <w:sz w:val="24"/>
          <w:szCs w:val="24"/>
        </w:rPr>
        <w:t xml:space="preserve">Conventionally, age is used as the parameter to gauge adulthood. Many countries around the world have a specific age set as the adult age, where individuals are deemed to have their own views and can thus participate in various civil duties (Flanagan &amp; Levine, 2010). Adulthood is related to self-reliance and self-sufficiency, where individuals are expected to take care of themselves. However, with the various set ages of adulthood in various territories and countries, this may not be the case. Leaving the parental home and leaving alone is defined as one of the descriptions of adulthood (Buchmann &amp; Kriesi, 2011). According to Buchmann &amp; Kriesi (2011), this trend has slowly changed; however, as research indicates that most young adults go back to live in their parental home at least once in their lives. </w:t>
      </w:r>
    </w:p>
    <w:p w14:paraId="2A8CD97A" w14:textId="77777777" w:rsidR="004C2273" w:rsidRPr="004C2273" w:rsidRDefault="004C2273" w:rsidP="004C2273">
      <w:pPr>
        <w:spacing w:line="480" w:lineRule="auto"/>
        <w:ind w:firstLine="720"/>
        <w:rPr>
          <w:rFonts w:ascii="Times New Roman" w:hAnsi="Times New Roman" w:cs="Times New Roman"/>
          <w:sz w:val="24"/>
          <w:szCs w:val="24"/>
        </w:rPr>
      </w:pPr>
      <w:r w:rsidRPr="004C2273">
        <w:rPr>
          <w:rFonts w:ascii="Times New Roman" w:hAnsi="Times New Roman" w:cs="Times New Roman"/>
          <w:sz w:val="24"/>
          <w:szCs w:val="24"/>
        </w:rPr>
        <w:t xml:space="preserve">Living in the parental home contravenes the definition of adulthood, especially on self-reliance, and thus the studies are an indication of a societal shift in the definition of adulthood. Parenthood, as the crowning moment of adulthood, has also been affected by contemporary society having a very varied take on parenthood. Modern adults being seen to prefer figuring out their lives completely, including getting a house and stable income flow, which can take long before committing to this final step of adulthood, thus altering its onset. </w:t>
      </w:r>
    </w:p>
    <w:p w14:paraId="1A97831C" w14:textId="787FF98E" w:rsidR="00D76B8B" w:rsidRDefault="004C2273" w:rsidP="004C2273">
      <w:pPr>
        <w:spacing w:line="480" w:lineRule="auto"/>
        <w:ind w:firstLine="720"/>
        <w:rPr>
          <w:rFonts w:ascii="Times New Roman" w:hAnsi="Times New Roman" w:cs="Times New Roman"/>
          <w:sz w:val="24"/>
          <w:szCs w:val="24"/>
        </w:rPr>
      </w:pPr>
      <w:r w:rsidRPr="004C2273">
        <w:rPr>
          <w:rFonts w:ascii="Times New Roman" w:hAnsi="Times New Roman" w:cs="Times New Roman"/>
          <w:sz w:val="24"/>
          <w:szCs w:val="24"/>
        </w:rPr>
        <w:lastRenderedPageBreak/>
        <w:t>Societal trends have changed a great deal attributable to the prevailing conditions in the environment. One of the social norms that have been affected is adulthood. Adulthood definition is reliant on some parameters such as the age of the individual, their ability to take care of themselves, and also the emotional part of being an adult and all that pertains to it. Adulthood is both physical and emotional maturity; thus, to say it is an ongoing process (Chernoff, 2007). Adulthood can, therefore, not merely be defined as the self-reliance and self -sufficiency as there is a critical emotional aspect not very well illustrated in the two attributes above. Adulthood and thus, its onset is a complex process that needs a more in-depth definition.</w:t>
      </w:r>
    </w:p>
    <w:p w14:paraId="6C63D8EE" w14:textId="77777777" w:rsidR="00D76B8B" w:rsidRDefault="00D76B8B" w:rsidP="00F77130">
      <w:pPr>
        <w:rPr>
          <w:rFonts w:ascii="Times New Roman" w:hAnsi="Times New Roman" w:cs="Times New Roman"/>
          <w:sz w:val="24"/>
          <w:szCs w:val="24"/>
        </w:rPr>
      </w:pPr>
    </w:p>
    <w:p w14:paraId="2CC492C0" w14:textId="77777777" w:rsidR="00D76B8B" w:rsidRDefault="00D76B8B" w:rsidP="00F77130">
      <w:pPr>
        <w:rPr>
          <w:rFonts w:ascii="Times New Roman" w:hAnsi="Times New Roman" w:cs="Times New Roman"/>
          <w:sz w:val="24"/>
          <w:szCs w:val="24"/>
        </w:rPr>
      </w:pPr>
    </w:p>
    <w:p w14:paraId="5B4A7409" w14:textId="77777777" w:rsidR="00D76B8B" w:rsidRDefault="00D76B8B" w:rsidP="00F77130">
      <w:pPr>
        <w:rPr>
          <w:rFonts w:ascii="Times New Roman" w:hAnsi="Times New Roman" w:cs="Times New Roman"/>
          <w:sz w:val="24"/>
          <w:szCs w:val="24"/>
        </w:rPr>
      </w:pPr>
    </w:p>
    <w:p w14:paraId="34AE42F3" w14:textId="77777777" w:rsidR="00AD403C" w:rsidRDefault="00AD403C" w:rsidP="00F77130">
      <w:pPr>
        <w:rPr>
          <w:rFonts w:ascii="Times New Roman" w:hAnsi="Times New Roman" w:cs="Times New Roman"/>
          <w:sz w:val="24"/>
          <w:szCs w:val="24"/>
        </w:rPr>
      </w:pPr>
    </w:p>
    <w:p w14:paraId="0CEE5E55" w14:textId="77777777" w:rsidR="00AD403C" w:rsidRDefault="00AD403C" w:rsidP="00F77130">
      <w:pPr>
        <w:rPr>
          <w:rFonts w:ascii="Times New Roman" w:hAnsi="Times New Roman" w:cs="Times New Roman"/>
          <w:sz w:val="24"/>
          <w:szCs w:val="24"/>
        </w:rPr>
      </w:pPr>
    </w:p>
    <w:p w14:paraId="01041606" w14:textId="77777777" w:rsidR="00AD403C" w:rsidRDefault="00AD403C" w:rsidP="00F77130">
      <w:pPr>
        <w:rPr>
          <w:rFonts w:ascii="Times New Roman" w:hAnsi="Times New Roman" w:cs="Times New Roman"/>
          <w:sz w:val="24"/>
          <w:szCs w:val="24"/>
        </w:rPr>
      </w:pPr>
    </w:p>
    <w:p w14:paraId="2F0ED065" w14:textId="77777777" w:rsidR="00AD403C" w:rsidRDefault="00AD403C" w:rsidP="00F77130">
      <w:pPr>
        <w:rPr>
          <w:rFonts w:ascii="Times New Roman" w:hAnsi="Times New Roman" w:cs="Times New Roman"/>
          <w:sz w:val="24"/>
          <w:szCs w:val="24"/>
        </w:rPr>
      </w:pPr>
    </w:p>
    <w:p w14:paraId="2B543CA1" w14:textId="77777777" w:rsidR="00AD403C" w:rsidRDefault="00AD403C" w:rsidP="00F77130">
      <w:pPr>
        <w:rPr>
          <w:rFonts w:ascii="Times New Roman" w:hAnsi="Times New Roman" w:cs="Times New Roman"/>
          <w:sz w:val="24"/>
          <w:szCs w:val="24"/>
        </w:rPr>
      </w:pPr>
    </w:p>
    <w:p w14:paraId="6E4433FD" w14:textId="77777777" w:rsidR="00AD403C" w:rsidRDefault="00AD403C" w:rsidP="00F77130">
      <w:pPr>
        <w:rPr>
          <w:rFonts w:ascii="Times New Roman" w:hAnsi="Times New Roman" w:cs="Times New Roman"/>
          <w:sz w:val="24"/>
          <w:szCs w:val="24"/>
        </w:rPr>
      </w:pPr>
    </w:p>
    <w:p w14:paraId="00AE0ED8" w14:textId="77777777" w:rsidR="00AD403C" w:rsidRDefault="00AD403C" w:rsidP="00F77130">
      <w:pPr>
        <w:rPr>
          <w:rFonts w:ascii="Times New Roman" w:hAnsi="Times New Roman" w:cs="Times New Roman"/>
          <w:sz w:val="24"/>
          <w:szCs w:val="24"/>
        </w:rPr>
      </w:pPr>
    </w:p>
    <w:p w14:paraId="22D685F7" w14:textId="77777777" w:rsidR="00AD403C" w:rsidRDefault="00AD403C" w:rsidP="00F77130">
      <w:pPr>
        <w:rPr>
          <w:rFonts w:ascii="Times New Roman" w:hAnsi="Times New Roman" w:cs="Times New Roman"/>
          <w:sz w:val="24"/>
          <w:szCs w:val="24"/>
        </w:rPr>
      </w:pPr>
    </w:p>
    <w:p w14:paraId="54D7C4E0" w14:textId="77777777" w:rsidR="00AD403C" w:rsidRDefault="00AD403C" w:rsidP="00F77130">
      <w:pPr>
        <w:rPr>
          <w:rFonts w:ascii="Times New Roman" w:hAnsi="Times New Roman" w:cs="Times New Roman"/>
          <w:sz w:val="24"/>
          <w:szCs w:val="24"/>
        </w:rPr>
      </w:pPr>
    </w:p>
    <w:p w14:paraId="3B4D1E42" w14:textId="77777777" w:rsidR="00667C8C" w:rsidRDefault="00667C8C" w:rsidP="00A401CA">
      <w:pPr>
        <w:spacing w:line="480" w:lineRule="auto"/>
        <w:jc w:val="center"/>
        <w:rPr>
          <w:rFonts w:ascii="Times New Roman" w:hAnsi="Times New Roman" w:cs="Times New Roman"/>
          <w:sz w:val="24"/>
          <w:szCs w:val="24"/>
        </w:rPr>
      </w:pPr>
    </w:p>
    <w:p w14:paraId="188EABFC" w14:textId="77777777" w:rsidR="00667C8C" w:rsidRDefault="00667C8C" w:rsidP="00A401CA">
      <w:pPr>
        <w:spacing w:line="480" w:lineRule="auto"/>
        <w:jc w:val="center"/>
        <w:rPr>
          <w:rFonts w:ascii="Times New Roman" w:hAnsi="Times New Roman" w:cs="Times New Roman"/>
          <w:sz w:val="24"/>
          <w:szCs w:val="24"/>
        </w:rPr>
      </w:pPr>
    </w:p>
    <w:p w14:paraId="3468AC81" w14:textId="77777777" w:rsidR="00667C8C" w:rsidRDefault="00667C8C" w:rsidP="00A401CA">
      <w:pPr>
        <w:spacing w:line="480" w:lineRule="auto"/>
        <w:jc w:val="center"/>
        <w:rPr>
          <w:rFonts w:ascii="Times New Roman" w:hAnsi="Times New Roman" w:cs="Times New Roman"/>
          <w:sz w:val="24"/>
          <w:szCs w:val="24"/>
        </w:rPr>
      </w:pPr>
    </w:p>
    <w:p w14:paraId="29CAC27F" w14:textId="77777777" w:rsidR="003A71F9" w:rsidRDefault="003A71F9" w:rsidP="00A401CA">
      <w:pPr>
        <w:spacing w:line="480" w:lineRule="auto"/>
        <w:jc w:val="center"/>
        <w:rPr>
          <w:rFonts w:ascii="Times New Roman" w:hAnsi="Times New Roman" w:cs="Times New Roman"/>
          <w:sz w:val="24"/>
          <w:szCs w:val="24"/>
        </w:rPr>
      </w:pPr>
    </w:p>
    <w:p w14:paraId="531A40EA" w14:textId="5583F024" w:rsidR="003A71F9" w:rsidRPr="003A71F9" w:rsidRDefault="00F77130" w:rsidP="003A71F9">
      <w:pPr>
        <w:spacing w:line="480" w:lineRule="auto"/>
        <w:jc w:val="center"/>
        <w:rPr>
          <w:rFonts w:ascii="Times New Roman" w:hAnsi="Times New Roman" w:cs="Times New Roman"/>
          <w:sz w:val="24"/>
          <w:szCs w:val="24"/>
        </w:rPr>
      </w:pPr>
      <w:r w:rsidRPr="00D76B8B">
        <w:rPr>
          <w:rFonts w:ascii="Times New Roman" w:hAnsi="Times New Roman" w:cs="Times New Roman"/>
          <w:sz w:val="24"/>
          <w:szCs w:val="24"/>
        </w:rPr>
        <w:lastRenderedPageBreak/>
        <w:t>References</w:t>
      </w:r>
      <w:bookmarkStart w:id="0" w:name="_GoBack"/>
      <w:bookmarkEnd w:id="0"/>
    </w:p>
    <w:p w14:paraId="313941B4" w14:textId="77777777" w:rsidR="003A71F9" w:rsidRPr="00D76B8B" w:rsidRDefault="003A71F9" w:rsidP="00AD403C">
      <w:pPr>
        <w:spacing w:line="480" w:lineRule="auto"/>
        <w:ind w:left="720" w:hanging="720"/>
        <w:rPr>
          <w:rFonts w:ascii="Times New Roman" w:hAnsi="Times New Roman" w:cs="Times New Roman"/>
          <w:color w:val="222222"/>
          <w:sz w:val="24"/>
          <w:szCs w:val="24"/>
          <w:shd w:val="clear" w:color="auto" w:fill="FFFFFF"/>
        </w:rPr>
      </w:pPr>
      <w:r w:rsidRPr="00D76B8B">
        <w:rPr>
          <w:rFonts w:ascii="Times New Roman" w:hAnsi="Times New Roman" w:cs="Times New Roman"/>
          <w:color w:val="222222"/>
          <w:sz w:val="24"/>
          <w:szCs w:val="24"/>
          <w:shd w:val="clear" w:color="auto" w:fill="FFFFFF"/>
        </w:rPr>
        <w:t>Buchmann, M. C., &amp; Kriesi, I. (2011). Transition to adulthood in Europe. </w:t>
      </w:r>
      <w:r w:rsidRPr="00D76B8B">
        <w:rPr>
          <w:rFonts w:ascii="Times New Roman" w:hAnsi="Times New Roman" w:cs="Times New Roman"/>
          <w:i/>
          <w:iCs/>
          <w:color w:val="222222"/>
          <w:sz w:val="24"/>
          <w:szCs w:val="24"/>
          <w:shd w:val="clear" w:color="auto" w:fill="FFFFFF"/>
        </w:rPr>
        <w:t>Annual review of sociology</w:t>
      </w:r>
      <w:r w:rsidRPr="00D76B8B">
        <w:rPr>
          <w:rFonts w:ascii="Times New Roman" w:hAnsi="Times New Roman" w:cs="Times New Roman"/>
          <w:color w:val="222222"/>
          <w:sz w:val="24"/>
          <w:szCs w:val="24"/>
          <w:shd w:val="clear" w:color="auto" w:fill="FFFFFF"/>
        </w:rPr>
        <w:t>, </w:t>
      </w:r>
      <w:r w:rsidRPr="00D76B8B">
        <w:rPr>
          <w:rFonts w:ascii="Times New Roman" w:hAnsi="Times New Roman" w:cs="Times New Roman"/>
          <w:i/>
          <w:iCs/>
          <w:color w:val="222222"/>
          <w:sz w:val="24"/>
          <w:szCs w:val="24"/>
          <w:shd w:val="clear" w:color="auto" w:fill="FFFFFF"/>
        </w:rPr>
        <w:t>37</w:t>
      </w:r>
      <w:r w:rsidRPr="00D76B8B">
        <w:rPr>
          <w:rFonts w:ascii="Times New Roman" w:hAnsi="Times New Roman" w:cs="Times New Roman"/>
          <w:color w:val="222222"/>
          <w:sz w:val="24"/>
          <w:szCs w:val="24"/>
          <w:shd w:val="clear" w:color="auto" w:fill="FFFFFF"/>
        </w:rPr>
        <w:t>, 481-503.</w:t>
      </w:r>
    </w:p>
    <w:p w14:paraId="7C9A510E" w14:textId="77777777" w:rsidR="003A71F9" w:rsidRPr="00D76B8B" w:rsidRDefault="003A71F9" w:rsidP="00AD403C">
      <w:pPr>
        <w:spacing w:line="480" w:lineRule="auto"/>
        <w:ind w:left="720" w:hanging="720"/>
        <w:rPr>
          <w:rFonts w:ascii="Times New Roman" w:hAnsi="Times New Roman" w:cs="Times New Roman"/>
          <w:color w:val="222222"/>
          <w:sz w:val="24"/>
          <w:szCs w:val="24"/>
          <w:shd w:val="clear" w:color="auto" w:fill="FFFFFF"/>
        </w:rPr>
      </w:pPr>
      <w:r w:rsidRPr="00D76B8B">
        <w:rPr>
          <w:rFonts w:ascii="Times New Roman" w:hAnsi="Times New Roman" w:cs="Times New Roman"/>
          <w:color w:val="222222"/>
          <w:sz w:val="24"/>
          <w:szCs w:val="24"/>
          <w:shd w:val="clear" w:color="auto" w:fill="FFFFFF"/>
        </w:rPr>
        <w:t>Flanagan, C., &amp; Levine, P. (2010). Civic engagement and the transition to adulthood. </w:t>
      </w:r>
      <w:r w:rsidRPr="00D76B8B">
        <w:rPr>
          <w:rFonts w:ascii="Times New Roman" w:hAnsi="Times New Roman" w:cs="Times New Roman"/>
          <w:i/>
          <w:iCs/>
          <w:color w:val="222222"/>
          <w:sz w:val="24"/>
          <w:szCs w:val="24"/>
          <w:shd w:val="clear" w:color="auto" w:fill="FFFFFF"/>
        </w:rPr>
        <w:t>The future of children</w:t>
      </w:r>
      <w:r w:rsidRPr="00D76B8B">
        <w:rPr>
          <w:rFonts w:ascii="Times New Roman" w:hAnsi="Times New Roman" w:cs="Times New Roman"/>
          <w:color w:val="222222"/>
          <w:sz w:val="24"/>
          <w:szCs w:val="24"/>
          <w:shd w:val="clear" w:color="auto" w:fill="FFFFFF"/>
        </w:rPr>
        <w:t>, 159-179.</w:t>
      </w:r>
    </w:p>
    <w:p w14:paraId="47248EE8" w14:textId="77777777" w:rsidR="003A71F9" w:rsidRPr="00D76B8B" w:rsidRDefault="003A71F9" w:rsidP="00AD403C">
      <w:pPr>
        <w:spacing w:line="480" w:lineRule="auto"/>
        <w:ind w:left="720" w:hanging="720"/>
        <w:rPr>
          <w:rFonts w:ascii="Times New Roman" w:hAnsi="Times New Roman" w:cs="Times New Roman"/>
          <w:sz w:val="24"/>
          <w:szCs w:val="24"/>
        </w:rPr>
      </w:pPr>
      <w:r w:rsidRPr="00D76B8B">
        <w:rPr>
          <w:rStyle w:val="entry-author-name"/>
          <w:rFonts w:ascii="Times New Roman" w:hAnsi="Times New Roman" w:cs="Times New Roman"/>
          <w:color w:val="000000"/>
          <w:spacing w:val="15"/>
          <w:sz w:val="24"/>
          <w:szCs w:val="24"/>
        </w:rPr>
        <w:t xml:space="preserve">Marc Chernoff (2007). </w:t>
      </w:r>
      <w:r w:rsidRPr="00D76B8B">
        <w:rPr>
          <w:rFonts w:ascii="Times New Roman" w:hAnsi="Times New Roman" w:cs="Times New Roman"/>
          <w:color w:val="000000"/>
          <w:sz w:val="24"/>
          <w:szCs w:val="24"/>
          <w:shd w:val="clear" w:color="auto" w:fill="FFFFFF"/>
        </w:rPr>
        <w:t>What is Adulthood? 20 Defining Characteristics of a True Adult. Retrieved from https://www.marcandangel.com/2007/08/17/what-is-adulthood-20-defining-characteristics-of-a-true-adult/</w:t>
      </w:r>
    </w:p>
    <w:p w14:paraId="608B27D5" w14:textId="77777777" w:rsidR="003A71F9" w:rsidRPr="00D76B8B" w:rsidRDefault="003A71F9" w:rsidP="00A401CA">
      <w:pPr>
        <w:spacing w:line="480" w:lineRule="auto"/>
        <w:ind w:left="720" w:hanging="720"/>
        <w:rPr>
          <w:rFonts w:ascii="Times New Roman" w:hAnsi="Times New Roman" w:cs="Times New Roman"/>
          <w:sz w:val="24"/>
          <w:szCs w:val="24"/>
        </w:rPr>
      </w:pPr>
      <w:r w:rsidRPr="00D76B8B">
        <w:rPr>
          <w:rFonts w:ascii="Times New Roman" w:hAnsi="Times New Roman" w:cs="Times New Roman"/>
          <w:color w:val="222222"/>
          <w:sz w:val="24"/>
          <w:szCs w:val="24"/>
          <w:shd w:val="clear" w:color="auto" w:fill="FFFFFF"/>
        </w:rPr>
        <w:t>Tanner, J. L., &amp; Arnett, J. J. (2016). The emergence of emerging adulthood: The new life stage between adolescence and young adulthood. In </w:t>
      </w:r>
      <w:r w:rsidRPr="00D76B8B">
        <w:rPr>
          <w:rFonts w:ascii="Times New Roman" w:hAnsi="Times New Roman" w:cs="Times New Roman"/>
          <w:i/>
          <w:iCs/>
          <w:color w:val="222222"/>
          <w:sz w:val="24"/>
          <w:szCs w:val="24"/>
          <w:shd w:val="clear" w:color="auto" w:fill="FFFFFF"/>
        </w:rPr>
        <w:t>Routledge handbook of youth and young adulthood</w:t>
      </w:r>
      <w:r w:rsidRPr="00D76B8B">
        <w:rPr>
          <w:rFonts w:ascii="Times New Roman" w:hAnsi="Times New Roman" w:cs="Times New Roman"/>
          <w:color w:val="222222"/>
          <w:sz w:val="24"/>
          <w:szCs w:val="24"/>
          <w:shd w:val="clear" w:color="auto" w:fill="FFFFFF"/>
        </w:rPr>
        <w:t> (pp. 50-56). Routledge.</w:t>
      </w:r>
    </w:p>
    <w:p w14:paraId="47B7A958" w14:textId="49936835" w:rsidR="00220F63" w:rsidRPr="00D76B8B" w:rsidRDefault="00E906B1">
      <w:pPr>
        <w:rPr>
          <w:rFonts w:ascii="Times New Roman" w:hAnsi="Times New Roman" w:cs="Times New Roman"/>
          <w:color w:val="222222"/>
          <w:sz w:val="24"/>
          <w:szCs w:val="24"/>
          <w:shd w:val="clear" w:color="auto" w:fill="FFFFFF"/>
        </w:rPr>
      </w:pPr>
      <w:r w:rsidRPr="00D76B8B">
        <w:rPr>
          <w:rFonts w:ascii="Times New Roman" w:hAnsi="Times New Roman" w:cs="Times New Roman"/>
          <w:color w:val="222222"/>
          <w:sz w:val="24"/>
          <w:szCs w:val="24"/>
          <w:shd w:val="clear" w:color="auto" w:fill="FFFFFF"/>
        </w:rPr>
        <w:t xml:space="preserve">   </w:t>
      </w:r>
      <w:r w:rsidR="00B47432" w:rsidRPr="00D76B8B">
        <w:rPr>
          <w:rFonts w:ascii="Times New Roman" w:hAnsi="Times New Roman" w:cs="Times New Roman"/>
          <w:color w:val="222222"/>
          <w:sz w:val="24"/>
          <w:szCs w:val="24"/>
          <w:shd w:val="clear" w:color="auto" w:fill="FFFFFF"/>
        </w:rPr>
        <w:t xml:space="preserve"> </w:t>
      </w:r>
    </w:p>
    <w:p w14:paraId="64A73158" w14:textId="77777777" w:rsidR="00945B1A" w:rsidRPr="00D76B8B" w:rsidRDefault="00945B1A">
      <w:pPr>
        <w:rPr>
          <w:rFonts w:ascii="Times New Roman" w:hAnsi="Times New Roman" w:cs="Times New Roman"/>
          <w:color w:val="222222"/>
          <w:sz w:val="24"/>
          <w:szCs w:val="24"/>
          <w:shd w:val="clear" w:color="auto" w:fill="FFFFFF"/>
        </w:rPr>
      </w:pPr>
    </w:p>
    <w:p w14:paraId="7AC7BFB3" w14:textId="77777777" w:rsidR="00540DF0" w:rsidRPr="00D76B8B" w:rsidRDefault="00540DF0">
      <w:pPr>
        <w:rPr>
          <w:rFonts w:ascii="Times New Roman" w:hAnsi="Times New Roman" w:cs="Times New Roman"/>
          <w:sz w:val="24"/>
          <w:szCs w:val="24"/>
        </w:rPr>
      </w:pPr>
    </w:p>
    <w:sectPr w:rsidR="00540DF0" w:rsidRPr="00D76B8B" w:rsidSect="00D76B8B">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16FA220" w14:textId="77777777" w:rsidR="00932AE5" w:rsidRDefault="00932AE5" w:rsidP="00D76B8B">
      <w:pPr>
        <w:spacing w:after="0" w:line="240" w:lineRule="auto"/>
      </w:pPr>
      <w:r>
        <w:separator/>
      </w:r>
    </w:p>
  </w:endnote>
  <w:endnote w:type="continuationSeparator" w:id="0">
    <w:p w14:paraId="5B73454D" w14:textId="77777777" w:rsidR="00932AE5" w:rsidRDefault="00932AE5" w:rsidP="00D76B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DD47D13" w14:textId="77777777" w:rsidR="00932AE5" w:rsidRDefault="00932AE5" w:rsidP="00D76B8B">
      <w:pPr>
        <w:spacing w:after="0" w:line="240" w:lineRule="auto"/>
      </w:pPr>
      <w:r>
        <w:separator/>
      </w:r>
    </w:p>
  </w:footnote>
  <w:footnote w:type="continuationSeparator" w:id="0">
    <w:p w14:paraId="16B8138C" w14:textId="77777777" w:rsidR="00932AE5" w:rsidRDefault="00932AE5" w:rsidP="00D76B8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402A0CA" w14:textId="20E826B5" w:rsidR="009F1A81" w:rsidRDefault="009F1A81" w:rsidP="009F1A81">
    <w:pPr>
      <w:pStyle w:val="Header"/>
    </w:pPr>
    <w:r w:rsidRPr="00D76B8B">
      <w:rPr>
        <w:rFonts w:ascii="Times New Roman" w:hAnsi="Times New Roman" w:cs="Times New Roman"/>
        <w:sz w:val="24"/>
        <w:szCs w:val="24"/>
      </w:rPr>
      <w:t>REFLECTION ON ADULTHOOD</w:t>
    </w:r>
    <w:r>
      <w:t xml:space="preserve">                                                                                                             </w:t>
    </w:r>
    <w:sdt>
      <w:sdtPr>
        <w:id w:val="-974682507"/>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3A71F9">
          <w:rPr>
            <w:noProof/>
          </w:rPr>
          <w:t>3</w:t>
        </w:r>
        <w:r>
          <w:rPr>
            <w:noProof/>
          </w:rPr>
          <w:fldChar w:fldCharType="end"/>
        </w:r>
      </w:sdtContent>
    </w:sdt>
  </w:p>
  <w:p w14:paraId="55C9C3D6" w14:textId="388BBB62" w:rsidR="00D76B8B" w:rsidRDefault="00D76B8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933D620" w14:textId="3E5D3895" w:rsidR="00661A2D" w:rsidRDefault="00661A2D" w:rsidP="00661A2D">
    <w:pPr>
      <w:pStyle w:val="Header"/>
    </w:pPr>
    <w:r w:rsidRPr="00D76B8B">
      <w:rPr>
        <w:rFonts w:ascii="Times New Roman" w:hAnsi="Times New Roman" w:cs="Times New Roman"/>
        <w:sz w:val="24"/>
        <w:szCs w:val="24"/>
      </w:rPr>
      <w:t>REFLECTION ON ADULTHOOD</w:t>
    </w:r>
    <w:r>
      <w:t xml:space="preserve">                                                                                                                  </w:t>
    </w:r>
    <w:sdt>
      <w:sdtPr>
        <w:id w:val="-1103721308"/>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3A71F9">
          <w:rPr>
            <w:noProof/>
          </w:rPr>
          <w:t>1</w:t>
        </w:r>
        <w:r>
          <w:rPr>
            <w:noProof/>
          </w:rPr>
          <w:fldChar w:fldCharType="end"/>
        </w:r>
      </w:sdtContent>
    </w:sdt>
  </w:p>
  <w:p w14:paraId="2FA551C6" w14:textId="1F988505" w:rsidR="00D76B8B" w:rsidRPr="00D76B8B" w:rsidRDefault="00D76B8B">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16722"/>
    <w:rsid w:val="000579DD"/>
    <w:rsid w:val="00081C47"/>
    <w:rsid w:val="00092F2B"/>
    <w:rsid w:val="0009691D"/>
    <w:rsid w:val="00102178"/>
    <w:rsid w:val="001242FA"/>
    <w:rsid w:val="001406D5"/>
    <w:rsid w:val="00160F32"/>
    <w:rsid w:val="00205660"/>
    <w:rsid w:val="00220F63"/>
    <w:rsid w:val="002566F6"/>
    <w:rsid w:val="003A71F9"/>
    <w:rsid w:val="00401A14"/>
    <w:rsid w:val="00464661"/>
    <w:rsid w:val="004708E4"/>
    <w:rsid w:val="00495B35"/>
    <w:rsid w:val="004C2273"/>
    <w:rsid w:val="00540DF0"/>
    <w:rsid w:val="00594477"/>
    <w:rsid w:val="006023DB"/>
    <w:rsid w:val="006342C6"/>
    <w:rsid w:val="00661A2D"/>
    <w:rsid w:val="00667C8C"/>
    <w:rsid w:val="0067039C"/>
    <w:rsid w:val="006773D1"/>
    <w:rsid w:val="00691C52"/>
    <w:rsid w:val="006A461A"/>
    <w:rsid w:val="006C7588"/>
    <w:rsid w:val="006E63B3"/>
    <w:rsid w:val="00721854"/>
    <w:rsid w:val="007950C5"/>
    <w:rsid w:val="007A49ED"/>
    <w:rsid w:val="007A6968"/>
    <w:rsid w:val="007B10BD"/>
    <w:rsid w:val="008600DB"/>
    <w:rsid w:val="008C1820"/>
    <w:rsid w:val="00932AE5"/>
    <w:rsid w:val="00945B1A"/>
    <w:rsid w:val="00957714"/>
    <w:rsid w:val="009A4608"/>
    <w:rsid w:val="009F1A81"/>
    <w:rsid w:val="00A401CA"/>
    <w:rsid w:val="00AD403C"/>
    <w:rsid w:val="00AE2A12"/>
    <w:rsid w:val="00B22C13"/>
    <w:rsid w:val="00B47432"/>
    <w:rsid w:val="00C305DD"/>
    <w:rsid w:val="00C472CD"/>
    <w:rsid w:val="00C53FE7"/>
    <w:rsid w:val="00CA18C6"/>
    <w:rsid w:val="00CC2208"/>
    <w:rsid w:val="00CC36BE"/>
    <w:rsid w:val="00D10BF1"/>
    <w:rsid w:val="00D76B8B"/>
    <w:rsid w:val="00E16722"/>
    <w:rsid w:val="00E367A1"/>
    <w:rsid w:val="00E5234B"/>
    <w:rsid w:val="00E906B1"/>
    <w:rsid w:val="00EC6700"/>
    <w:rsid w:val="00EF4872"/>
    <w:rsid w:val="00F77130"/>
    <w:rsid w:val="00FB5F92"/>
    <w:rsid w:val="00FC17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D0D211"/>
  <w15:chartTrackingRefBased/>
  <w15:docId w15:val="{F2513EFB-A22E-4C00-82B7-E237D522BA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ntry-author-name">
    <w:name w:val="entry-author-name"/>
    <w:basedOn w:val="DefaultParagraphFont"/>
    <w:rsid w:val="00B22C13"/>
  </w:style>
  <w:style w:type="paragraph" w:styleId="Header">
    <w:name w:val="header"/>
    <w:basedOn w:val="Normal"/>
    <w:link w:val="HeaderChar"/>
    <w:uiPriority w:val="99"/>
    <w:unhideWhenUsed/>
    <w:rsid w:val="00D76B8B"/>
    <w:pPr>
      <w:tabs>
        <w:tab w:val="center" w:pos="4680"/>
        <w:tab w:val="right" w:pos="9360"/>
      </w:tabs>
      <w:spacing w:after="0" w:line="240" w:lineRule="auto"/>
    </w:pPr>
  </w:style>
  <w:style w:type="character" w:customStyle="1" w:styleId="HeaderChar">
    <w:name w:val="Header Char"/>
    <w:basedOn w:val="DefaultParagraphFont"/>
    <w:link w:val="Header"/>
    <w:uiPriority w:val="99"/>
    <w:rsid w:val="00D76B8B"/>
  </w:style>
  <w:style w:type="paragraph" w:styleId="Footer">
    <w:name w:val="footer"/>
    <w:basedOn w:val="Normal"/>
    <w:link w:val="FooterChar"/>
    <w:uiPriority w:val="99"/>
    <w:unhideWhenUsed/>
    <w:rsid w:val="00D76B8B"/>
    <w:pPr>
      <w:tabs>
        <w:tab w:val="center" w:pos="4680"/>
        <w:tab w:val="right" w:pos="9360"/>
      </w:tabs>
      <w:spacing w:after="0" w:line="240" w:lineRule="auto"/>
    </w:pPr>
  </w:style>
  <w:style w:type="character" w:customStyle="1" w:styleId="FooterChar">
    <w:name w:val="Footer Char"/>
    <w:basedOn w:val="DefaultParagraphFont"/>
    <w:link w:val="Footer"/>
    <w:uiPriority w:val="99"/>
    <w:rsid w:val="00D76B8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4</Pages>
  <Words>517</Words>
  <Characters>2948</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KELVIN</cp:lastModifiedBy>
  <cp:revision>4</cp:revision>
  <dcterms:created xsi:type="dcterms:W3CDTF">2020-03-24T22:59:00Z</dcterms:created>
  <dcterms:modified xsi:type="dcterms:W3CDTF">2020-03-24T23:04:00Z</dcterms:modified>
</cp:coreProperties>
</file>